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4C" w:rsidRDefault="005C254C" w:rsidP="00332847">
      <w:pPr>
        <w:jc w:val="both"/>
      </w:pPr>
    </w:p>
    <w:p w:rsidR="00241398" w:rsidRDefault="00241398" w:rsidP="00241398">
      <w:pPr>
        <w:pBdr>
          <w:top w:val="single" w:sz="4" w:space="1" w:color="auto"/>
          <w:left w:val="single" w:sz="4" w:space="4" w:color="auto"/>
          <w:bottom w:val="single" w:sz="4" w:space="1" w:color="auto"/>
          <w:right w:val="single" w:sz="4" w:space="4" w:color="auto"/>
        </w:pBdr>
        <w:jc w:val="center"/>
      </w:pPr>
      <w:r>
        <w:t>JOUER POUR MEMORISER</w:t>
      </w:r>
    </w:p>
    <w:p w:rsidR="00F32AAF" w:rsidRDefault="00F32AAF" w:rsidP="00BC65EF">
      <w:pPr>
        <w:jc w:val="both"/>
      </w:pPr>
    </w:p>
    <w:p w:rsidR="005C254C" w:rsidRDefault="005C254C" w:rsidP="00BC65EF">
      <w:pPr>
        <w:jc w:val="both"/>
      </w:pPr>
      <w:r>
        <w:t>Ces jeux ont été élaborés pour des classes de CAP PROE</w:t>
      </w:r>
      <w:r w:rsidR="00332847">
        <w:t xml:space="preserve"> (P</w:t>
      </w:r>
      <w:r w:rsidR="00332847" w:rsidRPr="00FF4323">
        <w:t>réparation et réalisation d’ouvrages électriques)</w:t>
      </w:r>
      <w:r>
        <w:t xml:space="preserve">. Les élèves de ces sections ont souvent du mal à </w:t>
      </w:r>
      <w:r w:rsidR="00332847" w:rsidRPr="00FF4323">
        <w:t>différenc</w:t>
      </w:r>
      <w:r>
        <w:t>i</w:t>
      </w:r>
      <w:r w:rsidR="00332847" w:rsidRPr="00FF4323">
        <w:t>e</w:t>
      </w:r>
      <w:r>
        <w:t>r</w:t>
      </w:r>
      <w:r w:rsidR="00332847" w:rsidRPr="00FF4323">
        <w:t xml:space="preserve"> </w:t>
      </w:r>
      <w:r>
        <w:t xml:space="preserve"> </w:t>
      </w:r>
      <w:r w:rsidR="00332847" w:rsidRPr="00FF4323">
        <w:t>les principales grandeurs électriques qu’ils rencontrent dans leur métier (tension, puissance,…)</w:t>
      </w:r>
      <w:r>
        <w:t xml:space="preserve">, leurs unités, les appareils de mesure… Certains élèves ont des problèmes de mémorisation et c’est en rencontrant à de multiples </w:t>
      </w:r>
      <w:proofErr w:type="gramStart"/>
      <w:r>
        <w:t>reprises</w:t>
      </w:r>
      <w:proofErr w:type="gramEnd"/>
      <w:r>
        <w:t xml:space="preserve"> et sous différentes formes les différentes notions, qu’ils arrivent à les </w:t>
      </w:r>
      <w:r w:rsidR="00241398">
        <w:t>retenir</w:t>
      </w:r>
      <w:r>
        <w:t>.</w:t>
      </w:r>
      <w:r w:rsidR="00332847" w:rsidRPr="00FF4323">
        <w:t xml:space="preserve">  </w:t>
      </w:r>
    </w:p>
    <w:p w:rsidR="005C254C" w:rsidRDefault="005C254C" w:rsidP="00BC65EF">
      <w:pPr>
        <w:jc w:val="both"/>
      </w:pPr>
      <w:r>
        <w:t>L</w:t>
      </w:r>
      <w:r w:rsidR="00BC65EF">
        <w:t>a connaissance de</w:t>
      </w:r>
      <w:r>
        <w:t>s</w:t>
      </w:r>
      <w:r w:rsidR="00BC65EF">
        <w:t xml:space="preserve"> symboles électriques simples (lampe, résistance,..) n</w:t>
      </w:r>
      <w:r>
        <w:t>’est pas forcément quelque chose de facile à assimiler non plus :</w:t>
      </w:r>
      <w:r w:rsidR="00BC65EF">
        <w:t xml:space="preserve"> les élèves </w:t>
      </w:r>
      <w:r>
        <w:t xml:space="preserve">peuvent </w:t>
      </w:r>
      <w:r w:rsidR="00BC65EF">
        <w:t>rest</w:t>
      </w:r>
      <w:r>
        <w:t xml:space="preserve">er </w:t>
      </w:r>
      <w:r w:rsidR="00BC65EF">
        <w:t>bloqués, incapables de réaliser</w:t>
      </w:r>
      <w:r>
        <w:t xml:space="preserve"> un montage car ils n’identifi</w:t>
      </w:r>
      <w:r w:rsidR="00241398">
        <w:t>ent pas sur le schéma</w:t>
      </w:r>
      <w:r w:rsidR="00BC65EF">
        <w:t xml:space="preserve"> les éléments ou alors </w:t>
      </w:r>
      <w:r>
        <w:t>les confond</w:t>
      </w:r>
      <w:r w:rsidR="00BC65EF">
        <w:t xml:space="preserve">ent </w:t>
      </w:r>
      <w:r>
        <w:t>(</w:t>
      </w:r>
      <w:r w:rsidR="00BC65EF">
        <w:t>voltmètre et ampèremètre,</w:t>
      </w:r>
      <w:r>
        <w:t xml:space="preserve"> par exemple)</w:t>
      </w:r>
      <w:r w:rsidR="00BC65EF">
        <w:t xml:space="preserve">…. </w:t>
      </w:r>
    </w:p>
    <w:p w:rsidR="00F32AAF" w:rsidRDefault="005C3420" w:rsidP="00BC65EF">
      <w:pPr>
        <w:jc w:val="both"/>
      </w:pPr>
      <w:r>
        <w:t xml:space="preserve">Les élèves ont aussi beaucoup de mal à passer d’une unité à une autre : convertir des milliampères en ampères ou vice versa est difficile pour eux, pourtant c’est important qu’ils sachent le faire car ils peuvent en avoir besoin notamment lors du choix du calibre de l’ampèremètre ou pour respecter des règles de sécurité…. </w:t>
      </w:r>
    </w:p>
    <w:p w:rsidR="005C254C" w:rsidRDefault="00F32AAF" w:rsidP="00BC65EF">
      <w:pPr>
        <w:jc w:val="both"/>
      </w:pPr>
      <w:r>
        <w:t xml:space="preserve">Trois </w:t>
      </w:r>
      <w:r w:rsidR="00B801C4">
        <w:t>exemples de jeux qui permettent de travailler sur ces difficultés.</w:t>
      </w:r>
    </w:p>
    <w:p w:rsidR="00F32AAF" w:rsidRDefault="00F32AAF" w:rsidP="00BC65EF">
      <w:pPr>
        <w:jc w:val="both"/>
      </w:pPr>
    </w:p>
    <w:p w:rsidR="00F32AAF" w:rsidRPr="00F32AAF" w:rsidRDefault="005C3420" w:rsidP="005C3420">
      <w:pPr>
        <w:jc w:val="both"/>
        <w:rPr>
          <w:rFonts w:ascii="Arial" w:hAnsi="Arial" w:cs="Arial"/>
          <w:b/>
          <w:sz w:val="24"/>
          <w:szCs w:val="24"/>
        </w:rPr>
      </w:pPr>
      <w:r w:rsidRPr="00F32AAF">
        <w:rPr>
          <w:rFonts w:ascii="Arial" w:hAnsi="Arial" w:cs="Arial"/>
          <w:b/>
          <w:sz w:val="24"/>
          <w:szCs w:val="24"/>
          <w:u w:val="single"/>
        </w:rPr>
        <w:t>Jeu 1</w:t>
      </w:r>
      <w:r w:rsidRPr="00F32AAF">
        <w:rPr>
          <w:rFonts w:ascii="Arial" w:hAnsi="Arial" w:cs="Arial"/>
          <w:b/>
          <w:sz w:val="24"/>
          <w:szCs w:val="24"/>
        </w:rPr>
        <w:t xml:space="preserve"> : </w:t>
      </w:r>
      <w:r w:rsidR="00F32AAF" w:rsidRPr="00F32AAF">
        <w:rPr>
          <w:rFonts w:ascii="Arial" w:hAnsi="Arial" w:cs="Arial"/>
          <w:b/>
          <w:sz w:val="24"/>
          <w:szCs w:val="24"/>
        </w:rPr>
        <w:t>Jeu des 3 familles.</w:t>
      </w:r>
    </w:p>
    <w:p w:rsidR="005C3420" w:rsidRDefault="00F32AAF" w:rsidP="005C3420">
      <w:pPr>
        <w:jc w:val="both"/>
      </w:pPr>
      <w:r>
        <w:t xml:space="preserve">Ce jeu </w:t>
      </w:r>
      <w:r w:rsidR="005C3420">
        <w:t>permet d’associer grandeur, unité, symboles, appareils de mesures…</w:t>
      </w:r>
    </w:p>
    <w:p w:rsidR="00F32AAF" w:rsidRDefault="00F32AAF" w:rsidP="005C3420">
      <w:pPr>
        <w:jc w:val="both"/>
      </w:pPr>
      <w:r w:rsidRPr="00F32AAF">
        <w:rPr>
          <w:b/>
        </w:rPr>
        <w:t>Composition </w:t>
      </w:r>
      <w:r>
        <w:t>: des fiches à découper (voir tableau ci-dessous).</w:t>
      </w:r>
    </w:p>
    <w:p w:rsidR="005C3420" w:rsidRDefault="005C3420" w:rsidP="005C3420">
      <w:pPr>
        <w:jc w:val="both"/>
      </w:pPr>
      <w:r w:rsidRPr="00F32AAF">
        <w:rPr>
          <w:b/>
        </w:rPr>
        <w:t>Règle du jeu</w:t>
      </w:r>
      <w:r>
        <w:t> : on disperse sur une table toutes les fiches relatives à la tension, à l’intensité et à la résistance. On demande aux élèves individuellement ou par deux de reformer les 3 familles.</w:t>
      </w:r>
    </w:p>
    <w:p w:rsidR="005C3420" w:rsidRDefault="00C95C62" w:rsidP="005C3420">
      <w:pPr>
        <w:jc w:val="both"/>
      </w:pPr>
      <w:r w:rsidRPr="00C95C62">
        <w:rPr>
          <w:b/>
        </w:rPr>
        <w:t>Analyse :</w:t>
      </w:r>
      <w:r>
        <w:t xml:space="preserve"> l</w:t>
      </w:r>
      <w:r w:rsidR="005C3420">
        <w:t>es premières fois il y a des erreurs puis, on note de rée</w:t>
      </w:r>
      <w:r w:rsidR="00705E72">
        <w:t>l</w:t>
      </w:r>
      <w:r w:rsidR="005C3420">
        <w:t>s progrès jusqu’à ce qu’il n’y ait plus d’erreurs.</w:t>
      </w:r>
    </w:p>
    <w:tbl>
      <w:tblPr>
        <w:tblStyle w:val="Grilledutableau"/>
        <w:tblW w:w="0" w:type="auto"/>
        <w:tblLook w:val="04A0"/>
      </w:tblPr>
      <w:tblGrid>
        <w:gridCol w:w="3142"/>
        <w:gridCol w:w="2887"/>
        <w:gridCol w:w="3257"/>
      </w:tblGrid>
      <w:tr w:rsidR="00F32AAF" w:rsidTr="00EE3217">
        <w:tc>
          <w:tcPr>
            <w:tcW w:w="3652" w:type="dxa"/>
          </w:tcPr>
          <w:p w:rsidR="00F32AAF" w:rsidRDefault="00F32AAF" w:rsidP="00EE3217">
            <w:pPr>
              <w:jc w:val="center"/>
              <w:rPr>
                <w:sz w:val="24"/>
                <w:szCs w:val="24"/>
              </w:rPr>
            </w:pPr>
            <w:r>
              <w:object w:dxaOrig="271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3" type="#_x0000_t75" style="width:135.85pt;height:65.1pt" o:ole="">
                  <v:imagedata r:id="rId5" o:title=""/>
                </v:shape>
                <o:OLEObject Type="Embed" ProgID="PBrush" ShapeID="_x0000_i1573" DrawAspect="Content" ObjectID="_1490718461" r:id="rId6"/>
              </w:object>
            </w:r>
          </w:p>
        </w:tc>
        <w:tc>
          <w:tcPr>
            <w:tcW w:w="3544" w:type="dxa"/>
          </w:tcPr>
          <w:p w:rsidR="00F32AAF" w:rsidRDefault="00F32AAF" w:rsidP="00EE3217">
            <w:pPr>
              <w:jc w:val="center"/>
              <w:rPr>
                <w:sz w:val="24"/>
                <w:szCs w:val="24"/>
              </w:rPr>
            </w:pPr>
            <w:r>
              <w:object w:dxaOrig="2010" w:dyaOrig="1005">
                <v:shape id="_x0000_i1574" type="#_x0000_t75" style="width:100.8pt;height:50.1pt" o:ole="">
                  <v:imagedata r:id="rId7" o:title=""/>
                </v:shape>
                <o:OLEObject Type="Embed" ProgID="PBrush" ShapeID="_x0000_i1574" DrawAspect="Content" ObjectID="_1490718462" r:id="rId8"/>
              </w:object>
            </w:r>
          </w:p>
        </w:tc>
        <w:tc>
          <w:tcPr>
            <w:tcW w:w="3685" w:type="dxa"/>
          </w:tcPr>
          <w:p w:rsidR="00F32AAF" w:rsidRDefault="00F32AAF" w:rsidP="00EE3217">
            <w:pPr>
              <w:jc w:val="center"/>
              <w:rPr>
                <w:sz w:val="24"/>
                <w:szCs w:val="24"/>
              </w:rPr>
            </w:pPr>
            <w:r>
              <w:object w:dxaOrig="2415" w:dyaOrig="1320">
                <v:shape id="_x0000_i1575" type="#_x0000_t75" style="width:120.85pt;height:65.75pt" o:ole="">
                  <v:imagedata r:id="rId9" o:title=""/>
                </v:shape>
                <o:OLEObject Type="Embed" ProgID="PBrush" ShapeID="_x0000_i1575" DrawAspect="Content" ObjectID="_1490718463" r:id="rId10"/>
              </w:object>
            </w:r>
          </w:p>
        </w:tc>
      </w:tr>
      <w:tr w:rsidR="00F32AAF" w:rsidTr="00EE3217">
        <w:tc>
          <w:tcPr>
            <w:tcW w:w="3652" w:type="dxa"/>
          </w:tcPr>
          <w:p w:rsidR="00F32AAF" w:rsidRDefault="00F32AAF" w:rsidP="00EE3217">
            <w:pPr>
              <w:jc w:val="center"/>
            </w:pPr>
            <w:r>
              <w:object w:dxaOrig="1755" w:dyaOrig="1470">
                <v:shape id="_x0000_i1576" type="#_x0000_t75" style="width:87.65pt;height:73.25pt" o:ole="">
                  <v:imagedata r:id="rId11" o:title=""/>
                </v:shape>
                <o:OLEObject Type="Embed" ProgID="PBrush" ShapeID="_x0000_i1576" DrawAspect="Content" ObjectID="_1490718464" r:id="rId12"/>
              </w:object>
            </w:r>
          </w:p>
        </w:tc>
        <w:tc>
          <w:tcPr>
            <w:tcW w:w="3544" w:type="dxa"/>
          </w:tcPr>
          <w:p w:rsidR="00F32AAF" w:rsidRDefault="00F32AAF" w:rsidP="00EE3217">
            <w:pPr>
              <w:jc w:val="center"/>
            </w:pPr>
            <w:r>
              <w:object w:dxaOrig="1290" w:dyaOrig="1275">
                <v:shape id="_x0000_i1578" type="#_x0000_t75" style="width:64.5pt;height:63.85pt" o:ole="">
                  <v:imagedata r:id="rId13" o:title=""/>
                </v:shape>
                <o:OLEObject Type="Embed" ProgID="PBrush" ShapeID="_x0000_i1578" DrawAspect="Content" ObjectID="_1490718465" r:id="rId14"/>
              </w:object>
            </w:r>
          </w:p>
        </w:tc>
        <w:tc>
          <w:tcPr>
            <w:tcW w:w="3685" w:type="dxa"/>
          </w:tcPr>
          <w:p w:rsidR="00F32AAF" w:rsidRDefault="00F32AAF" w:rsidP="00EE3217">
            <w:pPr>
              <w:jc w:val="center"/>
            </w:pPr>
            <w:r>
              <w:object w:dxaOrig="1455" w:dyaOrig="1095">
                <v:shape id="_x0000_i1577" type="#_x0000_t75" style="width:72.65pt;height:54.45pt" o:ole="">
                  <v:imagedata r:id="rId15" o:title=""/>
                </v:shape>
                <o:OLEObject Type="Embed" ProgID="PBrush" ShapeID="_x0000_i1577" DrawAspect="Content" ObjectID="_1490718466" r:id="rId16"/>
              </w:object>
            </w:r>
          </w:p>
        </w:tc>
      </w:tr>
      <w:tr w:rsidR="00F32AAF" w:rsidTr="00EE3217">
        <w:tc>
          <w:tcPr>
            <w:tcW w:w="3652" w:type="dxa"/>
          </w:tcPr>
          <w:p w:rsidR="00F32AAF" w:rsidRDefault="00F32AAF" w:rsidP="00EE3217">
            <w:pPr>
              <w:jc w:val="center"/>
            </w:pPr>
            <w:r>
              <w:object w:dxaOrig="1665" w:dyaOrig="1245">
                <v:shape id="_x0000_i1580" type="#_x0000_t75" style="width:83.25pt;height:62pt" o:ole="">
                  <v:imagedata r:id="rId17" o:title=""/>
                </v:shape>
                <o:OLEObject Type="Embed" ProgID="PBrush" ShapeID="_x0000_i1580" DrawAspect="Content" ObjectID="_1490718467" r:id="rId18"/>
              </w:object>
            </w:r>
          </w:p>
        </w:tc>
        <w:tc>
          <w:tcPr>
            <w:tcW w:w="3544" w:type="dxa"/>
          </w:tcPr>
          <w:p w:rsidR="00F32AAF" w:rsidRDefault="00F32AAF" w:rsidP="00EE3217">
            <w:pPr>
              <w:jc w:val="center"/>
            </w:pPr>
            <w:r>
              <w:object w:dxaOrig="1320" w:dyaOrig="1110">
                <v:shape id="_x0000_i1579" type="#_x0000_t75" style="width:65.75pt;height:55.7pt" o:ole="">
                  <v:imagedata r:id="rId19" o:title=""/>
                </v:shape>
                <o:OLEObject Type="Embed" ProgID="PBrush" ShapeID="_x0000_i1579" DrawAspect="Content" ObjectID="_1490718468" r:id="rId20"/>
              </w:object>
            </w:r>
          </w:p>
        </w:tc>
        <w:tc>
          <w:tcPr>
            <w:tcW w:w="3685" w:type="dxa"/>
          </w:tcPr>
          <w:p w:rsidR="00F32AAF" w:rsidRDefault="00F32AAF" w:rsidP="00EE3217">
            <w:pPr>
              <w:jc w:val="center"/>
            </w:pPr>
            <w:r>
              <w:object w:dxaOrig="1440" w:dyaOrig="1155">
                <v:shape id="_x0000_i1581" type="#_x0000_t75" style="width:1in;height:57.6pt" o:ole="">
                  <v:imagedata r:id="rId21" o:title=""/>
                </v:shape>
                <o:OLEObject Type="Embed" ProgID="PBrush" ShapeID="_x0000_i1581" DrawAspect="Content" ObjectID="_1490718469" r:id="rId22"/>
              </w:object>
            </w:r>
          </w:p>
        </w:tc>
      </w:tr>
      <w:tr w:rsidR="00F32AAF" w:rsidTr="00EE3217">
        <w:tc>
          <w:tcPr>
            <w:tcW w:w="3652" w:type="dxa"/>
          </w:tcPr>
          <w:p w:rsidR="00F32AAF" w:rsidRDefault="00F32AAF" w:rsidP="00EE3217">
            <w:pPr>
              <w:jc w:val="center"/>
            </w:pPr>
            <w:r>
              <w:object w:dxaOrig="1590" w:dyaOrig="1095">
                <v:shape id="_x0000_i1583" type="#_x0000_t75" style="width:79.5pt;height:54.45pt" o:ole="">
                  <v:imagedata r:id="rId23" o:title=""/>
                </v:shape>
                <o:OLEObject Type="Embed" ProgID="PBrush" ShapeID="_x0000_i1583" DrawAspect="Content" ObjectID="_1490718470" r:id="rId24"/>
              </w:object>
            </w:r>
          </w:p>
        </w:tc>
        <w:tc>
          <w:tcPr>
            <w:tcW w:w="3544" w:type="dxa"/>
          </w:tcPr>
          <w:p w:rsidR="00F32AAF" w:rsidRDefault="00F32AAF" w:rsidP="00EE3217">
            <w:pPr>
              <w:jc w:val="center"/>
            </w:pPr>
            <w:r>
              <w:object w:dxaOrig="1800" w:dyaOrig="1215">
                <v:shape id="_x0000_i1584" type="#_x0000_t75" style="width:90.15pt;height:60.75pt" o:ole="">
                  <v:imagedata r:id="rId25" o:title=""/>
                </v:shape>
                <o:OLEObject Type="Embed" ProgID="PBrush" ShapeID="_x0000_i1584" DrawAspect="Content" ObjectID="_1490718471" r:id="rId26"/>
              </w:object>
            </w:r>
          </w:p>
        </w:tc>
        <w:tc>
          <w:tcPr>
            <w:tcW w:w="3685" w:type="dxa"/>
          </w:tcPr>
          <w:p w:rsidR="00F32AAF" w:rsidRDefault="00F32AAF" w:rsidP="00EE3217">
            <w:pPr>
              <w:jc w:val="center"/>
            </w:pPr>
            <w:r>
              <w:object w:dxaOrig="1845" w:dyaOrig="1365">
                <v:shape id="_x0000_i1582" type="#_x0000_t75" style="width:92.05pt;height:68.25pt" o:ole="">
                  <v:imagedata r:id="rId27" o:title=""/>
                </v:shape>
                <o:OLEObject Type="Embed" ProgID="PBrush" ShapeID="_x0000_i1582" DrawAspect="Content" ObjectID="_1490718472" r:id="rId28"/>
              </w:object>
            </w:r>
          </w:p>
        </w:tc>
      </w:tr>
      <w:tr w:rsidR="00F32AAF" w:rsidTr="00EE3217">
        <w:tc>
          <w:tcPr>
            <w:tcW w:w="3652" w:type="dxa"/>
          </w:tcPr>
          <w:p w:rsidR="00F32AAF" w:rsidRDefault="00F32AAF" w:rsidP="00EE3217">
            <w:pPr>
              <w:jc w:val="center"/>
            </w:pPr>
            <w:r>
              <w:object w:dxaOrig="2355" w:dyaOrig="960">
                <v:shape id="_x0000_i1585" type="#_x0000_t75" style="width:117.7pt;height:48.2pt" o:ole="">
                  <v:imagedata r:id="rId29" o:title=""/>
                </v:shape>
                <o:OLEObject Type="Embed" ProgID="PBrush" ShapeID="_x0000_i1585" DrawAspect="Content" ObjectID="_1490718473" r:id="rId30"/>
              </w:object>
            </w:r>
          </w:p>
        </w:tc>
        <w:tc>
          <w:tcPr>
            <w:tcW w:w="3544" w:type="dxa"/>
          </w:tcPr>
          <w:p w:rsidR="00F32AAF" w:rsidRDefault="00F32AAF" w:rsidP="00EE3217">
            <w:pPr>
              <w:jc w:val="center"/>
            </w:pPr>
            <w:r>
              <w:object w:dxaOrig="2130" w:dyaOrig="735">
                <v:shape id="_x0000_i1587" type="#_x0000_t75" style="width:106.45pt;height:36.95pt" o:ole="">
                  <v:imagedata r:id="rId31" o:title=""/>
                </v:shape>
                <o:OLEObject Type="Embed" ProgID="PBrush" ShapeID="_x0000_i1587" DrawAspect="Content" ObjectID="_1490718474" r:id="rId32"/>
              </w:object>
            </w:r>
          </w:p>
        </w:tc>
        <w:tc>
          <w:tcPr>
            <w:tcW w:w="3685" w:type="dxa"/>
          </w:tcPr>
          <w:p w:rsidR="00F32AAF" w:rsidRDefault="00F32AAF" w:rsidP="00EE3217">
            <w:pPr>
              <w:jc w:val="center"/>
            </w:pPr>
            <w:r>
              <w:object w:dxaOrig="2865" w:dyaOrig="870">
                <v:shape id="_x0000_i1586" type="#_x0000_t75" style="width:143.35pt;height:43.2pt" o:ole="">
                  <v:imagedata r:id="rId33" o:title=""/>
                </v:shape>
                <o:OLEObject Type="Embed" ProgID="PBrush" ShapeID="_x0000_i1586" DrawAspect="Content" ObjectID="_1490718475" r:id="rId34"/>
              </w:object>
            </w:r>
          </w:p>
        </w:tc>
      </w:tr>
      <w:tr w:rsidR="00F32AAF" w:rsidTr="00EE3217">
        <w:tc>
          <w:tcPr>
            <w:tcW w:w="3652" w:type="dxa"/>
          </w:tcPr>
          <w:p w:rsidR="00F32AAF" w:rsidRDefault="00F32AAF" w:rsidP="00EE3217">
            <w:pPr>
              <w:jc w:val="center"/>
              <w:rPr>
                <w:sz w:val="24"/>
                <w:szCs w:val="24"/>
              </w:rPr>
            </w:pPr>
            <w:r>
              <w:object w:dxaOrig="2055" w:dyaOrig="1575">
                <v:shape id="_x0000_i1588" type="#_x0000_t75" style="width:102.7pt;height:78.9pt" o:ole="">
                  <v:imagedata r:id="rId35" o:title=""/>
                </v:shape>
                <o:OLEObject Type="Embed" ProgID="PBrush" ShapeID="_x0000_i1588" DrawAspect="Content" ObjectID="_1490718476" r:id="rId36"/>
              </w:object>
            </w:r>
          </w:p>
        </w:tc>
        <w:tc>
          <w:tcPr>
            <w:tcW w:w="3544" w:type="dxa"/>
          </w:tcPr>
          <w:p w:rsidR="00F32AAF" w:rsidRDefault="00F32AAF" w:rsidP="00EE3217">
            <w:pPr>
              <w:jc w:val="center"/>
              <w:rPr>
                <w:sz w:val="24"/>
                <w:szCs w:val="24"/>
              </w:rPr>
            </w:pPr>
            <w:r>
              <w:object w:dxaOrig="1980" w:dyaOrig="1395">
                <v:shape id="_x0000_i1589" type="#_x0000_t75" style="width:98.9pt;height:69.5pt" o:ole="">
                  <v:imagedata r:id="rId37" o:title=""/>
                </v:shape>
                <o:OLEObject Type="Embed" ProgID="PBrush" ShapeID="_x0000_i1589" DrawAspect="Content" ObjectID="_1490718477" r:id="rId38"/>
              </w:object>
            </w:r>
          </w:p>
        </w:tc>
        <w:tc>
          <w:tcPr>
            <w:tcW w:w="3685" w:type="dxa"/>
          </w:tcPr>
          <w:p w:rsidR="00F32AAF" w:rsidRDefault="00F32AAF" w:rsidP="00EE3217">
            <w:pPr>
              <w:jc w:val="center"/>
              <w:rPr>
                <w:sz w:val="24"/>
                <w:szCs w:val="24"/>
              </w:rPr>
            </w:pPr>
            <w:r>
              <w:object w:dxaOrig="1860" w:dyaOrig="1245">
                <v:shape id="_x0000_i1590" type="#_x0000_t75" style="width:93.3pt;height:62pt" o:ole="">
                  <v:imagedata r:id="rId39" o:title=""/>
                </v:shape>
                <o:OLEObject Type="Embed" ProgID="PBrush" ShapeID="_x0000_i1590" DrawAspect="Content" ObjectID="_1490718478" r:id="rId40"/>
              </w:object>
            </w:r>
          </w:p>
        </w:tc>
      </w:tr>
      <w:tr w:rsidR="00F32AAF" w:rsidTr="00EE3217">
        <w:tc>
          <w:tcPr>
            <w:tcW w:w="3652" w:type="dxa"/>
          </w:tcPr>
          <w:p w:rsidR="00F32AAF" w:rsidRDefault="00F32AAF" w:rsidP="00EE3217">
            <w:pPr>
              <w:jc w:val="center"/>
              <w:rPr>
                <w:sz w:val="24"/>
                <w:szCs w:val="24"/>
              </w:rPr>
            </w:pPr>
            <w:r>
              <w:object w:dxaOrig="2595" w:dyaOrig="1860">
                <v:shape id="_x0000_i1593" type="#_x0000_t75" style="width:129.6pt;height:93.3pt" o:ole="">
                  <v:imagedata r:id="rId41" o:title=""/>
                </v:shape>
                <o:OLEObject Type="Embed" ProgID="PBrush" ShapeID="_x0000_i1593" DrawAspect="Content" ObjectID="_1490718479" r:id="rId42"/>
              </w:object>
            </w:r>
          </w:p>
        </w:tc>
        <w:tc>
          <w:tcPr>
            <w:tcW w:w="3544" w:type="dxa"/>
          </w:tcPr>
          <w:p w:rsidR="00F32AAF" w:rsidRDefault="00F32AAF" w:rsidP="00EE3217">
            <w:pPr>
              <w:jc w:val="center"/>
              <w:rPr>
                <w:sz w:val="24"/>
                <w:szCs w:val="24"/>
              </w:rPr>
            </w:pPr>
            <w:r>
              <w:object w:dxaOrig="2400" w:dyaOrig="2085">
                <v:shape id="_x0000_i1592" type="#_x0000_t75" style="width:120.2pt;height:104.55pt" o:ole="">
                  <v:imagedata r:id="rId43" o:title=""/>
                </v:shape>
                <o:OLEObject Type="Embed" ProgID="PBrush" ShapeID="_x0000_i1592" DrawAspect="Content" ObjectID="_1490718480" r:id="rId44"/>
              </w:object>
            </w:r>
          </w:p>
        </w:tc>
        <w:tc>
          <w:tcPr>
            <w:tcW w:w="3685" w:type="dxa"/>
          </w:tcPr>
          <w:p w:rsidR="00F32AAF" w:rsidRDefault="00F32AAF" w:rsidP="00EE3217">
            <w:pPr>
              <w:jc w:val="center"/>
              <w:rPr>
                <w:sz w:val="24"/>
                <w:szCs w:val="24"/>
              </w:rPr>
            </w:pPr>
            <w:r>
              <w:object w:dxaOrig="2010" w:dyaOrig="2310">
                <v:shape id="_x0000_i1591" type="#_x0000_t75" style="width:100.8pt;height:115.2pt" o:ole="">
                  <v:imagedata r:id="rId45" o:title=""/>
                </v:shape>
                <o:OLEObject Type="Embed" ProgID="PBrush" ShapeID="_x0000_i1591" DrawAspect="Content" ObjectID="_1490718481" r:id="rId46"/>
              </w:object>
            </w:r>
          </w:p>
        </w:tc>
      </w:tr>
      <w:tr w:rsidR="00F32AAF" w:rsidTr="00EE3217">
        <w:tc>
          <w:tcPr>
            <w:tcW w:w="3652" w:type="dxa"/>
          </w:tcPr>
          <w:p w:rsidR="00F32AAF" w:rsidRDefault="00F32AAF" w:rsidP="00EE3217">
            <w:pPr>
              <w:jc w:val="center"/>
              <w:rPr>
                <w:sz w:val="24"/>
                <w:szCs w:val="24"/>
              </w:rPr>
            </w:pPr>
          </w:p>
        </w:tc>
        <w:tc>
          <w:tcPr>
            <w:tcW w:w="3544" w:type="dxa"/>
          </w:tcPr>
          <w:p w:rsidR="00F32AAF" w:rsidRDefault="00F32AAF" w:rsidP="00EE3217">
            <w:pPr>
              <w:jc w:val="center"/>
              <w:rPr>
                <w:sz w:val="24"/>
                <w:szCs w:val="24"/>
              </w:rPr>
            </w:pPr>
            <w:r>
              <w:object w:dxaOrig="1770" w:dyaOrig="2130">
                <v:shape id="_x0000_i1594" type="#_x0000_t75" style="width:88.3pt;height:106.45pt" o:ole="">
                  <v:imagedata r:id="rId47" o:title=""/>
                </v:shape>
                <o:OLEObject Type="Embed" ProgID="PBrush" ShapeID="_x0000_i1594" DrawAspect="Content" ObjectID="_1490718482" r:id="rId48"/>
              </w:object>
            </w:r>
          </w:p>
        </w:tc>
        <w:tc>
          <w:tcPr>
            <w:tcW w:w="3685" w:type="dxa"/>
          </w:tcPr>
          <w:p w:rsidR="00F32AAF" w:rsidRDefault="00F32AAF" w:rsidP="00EE3217">
            <w:pPr>
              <w:jc w:val="center"/>
              <w:rPr>
                <w:sz w:val="24"/>
                <w:szCs w:val="24"/>
              </w:rPr>
            </w:pPr>
            <w:r>
              <w:object w:dxaOrig="1695" w:dyaOrig="2100">
                <v:shape id="_x0000_i1595" type="#_x0000_t75" style="width:84.5pt;height:105.2pt" o:ole="">
                  <v:imagedata r:id="rId49" o:title=""/>
                </v:shape>
                <o:OLEObject Type="Embed" ProgID="PBrush" ShapeID="_x0000_i1595" DrawAspect="Content" ObjectID="_1490718483" r:id="rId50"/>
              </w:object>
            </w:r>
          </w:p>
        </w:tc>
      </w:tr>
    </w:tbl>
    <w:p w:rsidR="00F32AAF" w:rsidRDefault="00F32AAF" w:rsidP="005C3420">
      <w:pPr>
        <w:jc w:val="both"/>
      </w:pPr>
    </w:p>
    <w:p w:rsidR="00F32AAF" w:rsidRPr="00F32AAF" w:rsidRDefault="00F32AAF" w:rsidP="00F32AAF">
      <w:pPr>
        <w:jc w:val="both"/>
        <w:rPr>
          <w:rFonts w:ascii="Arial" w:hAnsi="Arial" w:cs="Arial"/>
          <w:b/>
          <w:sz w:val="24"/>
          <w:szCs w:val="24"/>
        </w:rPr>
      </w:pPr>
      <w:r w:rsidRPr="00F32AAF">
        <w:rPr>
          <w:rFonts w:ascii="Arial" w:hAnsi="Arial" w:cs="Arial"/>
          <w:b/>
          <w:sz w:val="24"/>
          <w:szCs w:val="24"/>
          <w:u w:val="single"/>
        </w:rPr>
        <w:t xml:space="preserve">Jeu </w:t>
      </w:r>
      <w:r>
        <w:rPr>
          <w:rFonts w:ascii="Arial" w:hAnsi="Arial" w:cs="Arial"/>
          <w:b/>
          <w:sz w:val="24"/>
          <w:szCs w:val="24"/>
          <w:u w:val="single"/>
        </w:rPr>
        <w:t>2</w:t>
      </w:r>
      <w:r w:rsidRPr="00F32AAF">
        <w:rPr>
          <w:rFonts w:ascii="Arial" w:hAnsi="Arial" w:cs="Arial"/>
          <w:b/>
          <w:sz w:val="24"/>
          <w:szCs w:val="24"/>
        </w:rPr>
        <w:t xml:space="preserve"> : </w:t>
      </w:r>
      <w:r>
        <w:rPr>
          <w:rFonts w:ascii="Arial" w:hAnsi="Arial" w:cs="Arial"/>
          <w:b/>
          <w:sz w:val="24"/>
          <w:szCs w:val="24"/>
        </w:rPr>
        <w:t>jeu « Symboles et grandeurs »</w:t>
      </w:r>
      <w:r w:rsidRPr="00F32AAF">
        <w:rPr>
          <w:rFonts w:ascii="Arial" w:hAnsi="Arial" w:cs="Arial"/>
          <w:b/>
          <w:sz w:val="24"/>
          <w:szCs w:val="24"/>
        </w:rPr>
        <w:t>.</w:t>
      </w:r>
    </w:p>
    <w:p w:rsidR="005C3420" w:rsidRDefault="00F32AAF" w:rsidP="005C3420">
      <w:pPr>
        <w:jc w:val="both"/>
      </w:pPr>
      <w:r>
        <w:t xml:space="preserve">Ce jeu </w:t>
      </w:r>
      <w:r w:rsidR="005C3420">
        <w:t xml:space="preserve">permet de </w:t>
      </w:r>
      <w:r w:rsidR="00BC65EF">
        <w:t xml:space="preserve">mémoriser les grandeurs et unités et appareils de mesure associés. </w:t>
      </w:r>
    </w:p>
    <w:p w:rsidR="00F32AAF" w:rsidRDefault="00F32AAF" w:rsidP="005C3420">
      <w:pPr>
        <w:jc w:val="both"/>
      </w:pPr>
      <w:r>
        <w:t>On peut travailler sur « tension », « intensité », « résistance », « puissance » et « énergie »</w:t>
      </w:r>
    </w:p>
    <w:p w:rsidR="00F32AAF" w:rsidRDefault="00F32AAF" w:rsidP="00F32AAF">
      <w:pPr>
        <w:jc w:val="both"/>
      </w:pPr>
      <w:r w:rsidRPr="00F32AAF">
        <w:rPr>
          <w:b/>
        </w:rPr>
        <w:t>Composition </w:t>
      </w:r>
      <w:r>
        <w:t xml:space="preserve">: - 3, 4 ou 5 cartes « grandeur » par élève en fonction du nombre de grandeurs sur lesquelles on veut travailler, imprimées sur des papiers de couleurs différentes si possible. </w:t>
      </w:r>
    </w:p>
    <w:p w:rsidR="0024387B" w:rsidRPr="003D28FC" w:rsidRDefault="0024387B" w:rsidP="003D28FC">
      <w:pPr>
        <w:pStyle w:val="msoaccenttext2"/>
        <w:widowControl w:val="0"/>
        <w:ind w:left="720" w:right="-195"/>
        <w:rPr>
          <w:rFonts w:ascii="Bradley Hand ITC" w:hAnsi="Bradley Hand ITC"/>
          <w:sz w:val="28"/>
          <w:szCs w:val="28"/>
        </w:rPr>
      </w:pPr>
      <w:r>
        <w:t xml:space="preserve"> </w:t>
      </w:r>
      <w:r>
        <w:rPr>
          <w:noProof/>
        </w:rPr>
        <w:drawing>
          <wp:inline distT="0" distB="0" distL="0" distR="0">
            <wp:extent cx="1620000" cy="897795"/>
            <wp:effectExtent l="19050" t="19050" r="18300" b="16605"/>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srcRect/>
                    <a:stretch>
                      <a:fillRect/>
                    </a:stretch>
                  </pic:blipFill>
                  <pic:spPr bwMode="auto">
                    <a:xfrm>
                      <a:off x="0" y="0"/>
                      <a:ext cx="1620000" cy="897795"/>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extent cx="1575869" cy="900000"/>
            <wp:effectExtent l="19050" t="19050" r="24331" b="1440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1575869" cy="900000"/>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extent cx="1691599" cy="900000"/>
            <wp:effectExtent l="19050" t="19050" r="22901" b="1440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1691599" cy="900000"/>
                    </a:xfrm>
                    <a:prstGeom prst="rect">
                      <a:avLst/>
                    </a:prstGeom>
                    <a:noFill/>
                    <a:ln w="6350" cmpd="sng">
                      <a:solidFill>
                        <a:srgbClr val="000000"/>
                      </a:solidFill>
                      <a:miter lim="800000"/>
                      <a:headEnd/>
                      <a:tailEnd/>
                    </a:ln>
                    <a:effectLst/>
                  </pic:spPr>
                </pic:pic>
              </a:graphicData>
            </a:graphic>
          </wp:inline>
        </w:drawing>
      </w:r>
    </w:p>
    <w:p w:rsidR="00F32AAF" w:rsidRDefault="00F32AAF" w:rsidP="00F32AAF">
      <w:pPr>
        <w:jc w:val="both"/>
      </w:pPr>
      <w:r>
        <w:t>- des cartes « symboles » à identifier (</w:t>
      </w:r>
      <w:r w:rsidR="003D28FC">
        <w:t xml:space="preserve">qui peuvent être </w:t>
      </w:r>
      <w:r w:rsidR="0024387B">
        <w:t>celles du jeu précédent</w:t>
      </w:r>
      <w:r>
        <w:t>)</w:t>
      </w:r>
    </w:p>
    <w:p w:rsidR="003D28FC" w:rsidRDefault="003D28FC" w:rsidP="003D28FC">
      <w:pPr>
        <w:pStyle w:val="Paragraphedeliste"/>
        <w:jc w:val="both"/>
      </w:pPr>
      <w:r>
        <w:rPr>
          <w:noProof/>
          <w:lang w:eastAsia="fr-FR"/>
        </w:rPr>
        <w:drawing>
          <wp:inline distT="0" distB="0" distL="0" distR="0">
            <wp:extent cx="1260000" cy="725774"/>
            <wp:effectExtent l="19050" t="19050" r="16350" b="17176"/>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srcRect/>
                    <a:stretch>
                      <a:fillRect/>
                    </a:stretch>
                  </pic:blipFill>
                  <pic:spPr bwMode="auto">
                    <a:xfrm>
                      <a:off x="0" y="0"/>
                      <a:ext cx="1260000" cy="725774"/>
                    </a:xfrm>
                    <a:prstGeom prst="rect">
                      <a:avLst/>
                    </a:prstGeom>
                    <a:noFill/>
                    <a:ln w="6350" cmpd="sng">
                      <a:solidFill>
                        <a:srgbClr val="000000"/>
                      </a:solidFill>
                      <a:miter lim="800000"/>
                      <a:headEnd/>
                      <a:tailEnd/>
                    </a:ln>
                    <a:effectLst/>
                  </pic:spPr>
                </pic:pic>
              </a:graphicData>
            </a:graphic>
          </wp:inline>
        </w:drawing>
      </w:r>
      <w:r>
        <w:rPr>
          <w:noProof/>
          <w:lang w:eastAsia="fr-FR"/>
        </w:rPr>
        <w:drawing>
          <wp:inline distT="0" distB="0" distL="0" distR="0">
            <wp:extent cx="1260000" cy="722467"/>
            <wp:effectExtent l="19050" t="19050" r="16350" b="20483"/>
            <wp:docPr id="2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srcRect/>
                    <a:stretch>
                      <a:fillRect/>
                    </a:stretch>
                  </pic:blipFill>
                  <pic:spPr bwMode="auto">
                    <a:xfrm>
                      <a:off x="0" y="0"/>
                      <a:ext cx="1260000" cy="722467"/>
                    </a:xfrm>
                    <a:prstGeom prst="rect">
                      <a:avLst/>
                    </a:prstGeom>
                    <a:noFill/>
                    <a:ln w="6350" cmpd="sng">
                      <a:solidFill>
                        <a:srgbClr val="000000"/>
                      </a:solidFill>
                      <a:miter lim="800000"/>
                      <a:headEnd/>
                      <a:tailEnd/>
                    </a:ln>
                    <a:effectLst/>
                  </pic:spPr>
                </pic:pic>
              </a:graphicData>
            </a:graphic>
          </wp:inline>
        </w:drawing>
      </w:r>
      <w:r>
        <w:rPr>
          <w:noProof/>
          <w:lang w:eastAsia="fr-FR"/>
        </w:rPr>
        <w:drawing>
          <wp:inline distT="0" distB="0" distL="0" distR="0">
            <wp:extent cx="1272623" cy="720000"/>
            <wp:effectExtent l="19050" t="19050" r="22777" b="22950"/>
            <wp:docPr id="2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srcRect/>
                    <a:stretch>
                      <a:fillRect/>
                    </a:stretch>
                  </pic:blipFill>
                  <pic:spPr bwMode="auto">
                    <a:xfrm>
                      <a:off x="0" y="0"/>
                      <a:ext cx="1272623" cy="720000"/>
                    </a:xfrm>
                    <a:prstGeom prst="rect">
                      <a:avLst/>
                    </a:prstGeom>
                    <a:noFill/>
                    <a:ln w="6350" cmpd="sng">
                      <a:solidFill>
                        <a:srgbClr val="000000"/>
                      </a:solidFill>
                      <a:miter lim="800000"/>
                      <a:headEnd/>
                      <a:tailEnd/>
                    </a:ln>
                    <a:effectLst/>
                  </pic:spPr>
                </pic:pic>
              </a:graphicData>
            </a:graphic>
          </wp:inline>
        </w:drawing>
      </w:r>
      <w:r>
        <w:rPr>
          <w:noProof/>
          <w:lang w:eastAsia="fr-FR"/>
        </w:rPr>
        <w:drawing>
          <wp:inline distT="0" distB="0" distL="0" distR="0">
            <wp:extent cx="1260000" cy="722832"/>
            <wp:effectExtent l="19050" t="19050" r="16350" b="20118"/>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srcRect/>
                    <a:stretch>
                      <a:fillRect/>
                    </a:stretch>
                  </pic:blipFill>
                  <pic:spPr bwMode="auto">
                    <a:xfrm>
                      <a:off x="0" y="0"/>
                      <a:ext cx="1260000" cy="722832"/>
                    </a:xfrm>
                    <a:prstGeom prst="rect">
                      <a:avLst/>
                    </a:prstGeom>
                    <a:noFill/>
                    <a:ln w="6350" cmpd="sng">
                      <a:solidFill>
                        <a:srgbClr val="000000"/>
                      </a:solidFill>
                      <a:miter lim="800000"/>
                      <a:headEnd/>
                      <a:tailEnd/>
                    </a:ln>
                    <a:effectLst/>
                  </pic:spPr>
                </pic:pic>
              </a:graphicData>
            </a:graphic>
          </wp:inline>
        </w:drawing>
      </w:r>
    </w:p>
    <w:p w:rsidR="00F32AAF" w:rsidRDefault="0024387B" w:rsidP="005C3420">
      <w:pPr>
        <w:jc w:val="both"/>
      </w:pPr>
      <w:r w:rsidRPr="00F32AAF">
        <w:rPr>
          <w:b/>
        </w:rPr>
        <w:lastRenderedPageBreak/>
        <w:t>Règle du jeu</w:t>
      </w:r>
      <w:r>
        <w:t xml:space="preserve"> : </w:t>
      </w:r>
      <w:r w:rsidR="003F165D">
        <w:t xml:space="preserve">Les élèves ont chacun en main 3 cartes : une carte « tension », une carte « intensité du courant », une carte « résistance »  et éventuellement une carte « puissance » </w:t>
      </w:r>
      <w:r w:rsidR="00F32AAF">
        <w:t>et une carte</w:t>
      </w:r>
      <w:r w:rsidR="003F165D">
        <w:t xml:space="preserve"> « énergie »</w:t>
      </w:r>
      <w:r w:rsidR="00F32AAF">
        <w:t xml:space="preserve"> lorsqu’ils maitrisent les trois premières familles.</w:t>
      </w:r>
    </w:p>
    <w:p w:rsidR="003F165D" w:rsidRDefault="00D12F8A" w:rsidP="005C3420">
      <w:pPr>
        <w:jc w:val="both"/>
      </w:pPr>
      <w:r>
        <w:t xml:space="preserve"> On retourne une carte symbole </w:t>
      </w:r>
      <w:r w:rsidR="00F32AAF">
        <w:t>au centre de la table pa</w:t>
      </w:r>
      <w:r>
        <w:t>r exemple le symbole d’un am</w:t>
      </w:r>
      <w:r w:rsidR="00705E72">
        <w:t>p</w:t>
      </w:r>
      <w:r>
        <w:t>èremètre et l’élève doit trouver à quel</w:t>
      </w:r>
      <w:r w:rsidR="00F32AAF">
        <w:t>le</w:t>
      </w:r>
      <w:r>
        <w:t xml:space="preserve"> grandeur il est associé en sélectionnant la bonne carte. S’il a bien choisi il marque un point. L’élève qui atteint 10 points en premier </w:t>
      </w:r>
      <w:r w:rsidR="0024387B">
        <w:t>gagne.</w:t>
      </w:r>
      <w:r>
        <w:t xml:space="preserve"> </w:t>
      </w:r>
    </w:p>
    <w:p w:rsidR="003D28FC" w:rsidRDefault="003D28FC" w:rsidP="005C3420">
      <w:pPr>
        <w:jc w:val="both"/>
      </w:pPr>
      <w:r>
        <w:t xml:space="preserve">Remarque : </w:t>
      </w:r>
      <w:r w:rsidR="00C95C62">
        <w:t>6 joueurs au maximum.</w:t>
      </w:r>
    </w:p>
    <w:p w:rsidR="00705E72" w:rsidRDefault="00C95C62" w:rsidP="005C3420">
      <w:pPr>
        <w:jc w:val="both"/>
      </w:pPr>
      <w:r w:rsidRPr="00C95C62">
        <w:rPr>
          <w:b/>
        </w:rPr>
        <w:t>Analyse :</w:t>
      </w:r>
      <w:r>
        <w:t xml:space="preserve"> b</w:t>
      </w:r>
      <w:r w:rsidR="00705E72">
        <w:t>eaucoup d’erreurs au début puis, on sent que parce qu’ils veulent gagner</w:t>
      </w:r>
      <w:r w:rsidR="00A5280D">
        <w:t xml:space="preserve">, les élèves </w:t>
      </w:r>
      <w:r w:rsidR="00705E72">
        <w:t xml:space="preserve">mobilisent leur mémoire pour bien choisir la carte. Jeu très simple mais qui répond </w:t>
      </w:r>
      <w:r w:rsidR="00A5280D">
        <w:t xml:space="preserve">vraiment </w:t>
      </w:r>
      <w:r w:rsidR="00705E72">
        <w:t xml:space="preserve">aux attentes de mémorisation. </w:t>
      </w:r>
    </w:p>
    <w:p w:rsidR="00C95C62" w:rsidRDefault="00C95C62" w:rsidP="005C3420">
      <w:pPr>
        <w:jc w:val="both"/>
      </w:pPr>
    </w:p>
    <w:p w:rsidR="00C95C62" w:rsidRPr="00F32AAF" w:rsidRDefault="00C95C62" w:rsidP="003A5862">
      <w:pPr>
        <w:jc w:val="both"/>
        <w:rPr>
          <w:rFonts w:ascii="Arial" w:hAnsi="Arial" w:cs="Arial"/>
          <w:b/>
          <w:sz w:val="24"/>
          <w:szCs w:val="24"/>
        </w:rPr>
      </w:pPr>
      <w:r w:rsidRPr="00F32AAF">
        <w:rPr>
          <w:rFonts w:ascii="Arial" w:hAnsi="Arial" w:cs="Arial"/>
          <w:b/>
          <w:sz w:val="24"/>
          <w:szCs w:val="24"/>
          <w:u w:val="single"/>
        </w:rPr>
        <w:t xml:space="preserve">Jeu </w:t>
      </w:r>
      <w:r>
        <w:rPr>
          <w:rFonts w:ascii="Arial" w:hAnsi="Arial" w:cs="Arial"/>
          <w:b/>
          <w:sz w:val="24"/>
          <w:szCs w:val="24"/>
          <w:u w:val="single"/>
        </w:rPr>
        <w:t>3</w:t>
      </w:r>
      <w:r w:rsidRPr="00F32AAF">
        <w:rPr>
          <w:rFonts w:ascii="Arial" w:hAnsi="Arial" w:cs="Arial"/>
          <w:b/>
          <w:sz w:val="24"/>
          <w:szCs w:val="24"/>
        </w:rPr>
        <w:t> :</w:t>
      </w:r>
      <w:r>
        <w:rPr>
          <w:rFonts w:ascii="Arial" w:hAnsi="Arial" w:cs="Arial"/>
          <w:b/>
          <w:sz w:val="24"/>
          <w:szCs w:val="24"/>
        </w:rPr>
        <w:t xml:space="preserve"> « Dessiner c’est gagner »</w:t>
      </w:r>
      <w:r w:rsidRPr="00F32AAF">
        <w:rPr>
          <w:rFonts w:ascii="Arial" w:hAnsi="Arial" w:cs="Arial"/>
          <w:b/>
          <w:sz w:val="24"/>
          <w:szCs w:val="24"/>
        </w:rPr>
        <w:t>.</w:t>
      </w:r>
    </w:p>
    <w:p w:rsidR="00BC65EF" w:rsidRDefault="00C95C62" w:rsidP="003A5862">
      <w:pPr>
        <w:jc w:val="both"/>
      </w:pPr>
      <w:r>
        <w:t>Ce jeu permet de</w:t>
      </w:r>
      <w:r w:rsidR="00BC65EF">
        <w:t xml:space="preserve"> mémoriser la symbolisation des différents éléments d’un circuit. </w:t>
      </w:r>
    </w:p>
    <w:p w:rsidR="00E70553" w:rsidRDefault="00E70553" w:rsidP="003A5862">
      <w:pPr>
        <w:jc w:val="both"/>
      </w:pPr>
      <w:r w:rsidRPr="00F32AAF">
        <w:rPr>
          <w:b/>
        </w:rPr>
        <w:t>Composition </w:t>
      </w:r>
      <w:r>
        <w:t xml:space="preserve">: - des cartes avec les défis à dessiner (voir les exemples </w:t>
      </w:r>
      <w:proofErr w:type="spellStart"/>
      <w:r>
        <w:t>ci-desous</w:t>
      </w:r>
      <w:proofErr w:type="spellEnd"/>
      <w:r>
        <w:t>)</w:t>
      </w:r>
    </w:p>
    <w:p w:rsidR="00E70553" w:rsidRDefault="00E70553" w:rsidP="003A5862">
      <w:pPr>
        <w:ind w:left="708" w:firstLine="708"/>
        <w:jc w:val="both"/>
      </w:pPr>
      <w:r>
        <w:t>- feuilles blanches et crayons à papier</w:t>
      </w:r>
    </w:p>
    <w:p w:rsidR="000B08C7" w:rsidRDefault="00E70553" w:rsidP="003A5862">
      <w:pPr>
        <w:jc w:val="both"/>
      </w:pPr>
      <w:r w:rsidRPr="00F32AAF">
        <w:rPr>
          <w:b/>
        </w:rPr>
        <w:t>Règle du jeu</w:t>
      </w:r>
      <w:r>
        <w:t> : s</w:t>
      </w:r>
      <w:r w:rsidR="00D12F8A">
        <w:t>ur le principe du « </w:t>
      </w:r>
      <w:r>
        <w:t>D</w:t>
      </w:r>
      <w:r w:rsidR="00C95C62">
        <w:t>essine</w:t>
      </w:r>
      <w:r>
        <w:t xml:space="preserve">r </w:t>
      </w:r>
      <w:r w:rsidR="00D12F8A">
        <w:t>c’est gagné »</w:t>
      </w:r>
      <w:r w:rsidR="00C95C62">
        <w:t>, les élèves disposent</w:t>
      </w:r>
      <w:r w:rsidR="00D12F8A">
        <w:t xml:space="preserve"> d</w:t>
      </w:r>
      <w:r w:rsidR="003A5862">
        <w:t xml:space="preserve">’au moins </w:t>
      </w:r>
      <w:r w:rsidR="00D12F8A">
        <w:t>30 secondes pour dessiner ce qui le</w:t>
      </w:r>
      <w:r>
        <w:t>ur est demandé</w:t>
      </w:r>
      <w:r w:rsidR="00D12F8A">
        <w:t xml:space="preserve"> (trois lampes en série par exemple). Si le dessin est correct, l’élève récolte 1 ou 2 points</w:t>
      </w:r>
      <w:r>
        <w:t xml:space="preserve"> selon la complexité</w:t>
      </w:r>
      <w:r w:rsidR="00D12F8A">
        <w:t>, celui qui a le plus de points au bout de 10 défis a gagné.</w:t>
      </w:r>
      <w:r>
        <w:t xml:space="preserve"> Un élève peut être chargé de lire les défis et de vérifier si les dessins sont corrects.</w:t>
      </w:r>
    </w:p>
    <w:p w:rsidR="00D12F8A" w:rsidRDefault="003A5862" w:rsidP="003A5862">
      <w:pPr>
        <w:jc w:val="both"/>
      </w:pPr>
      <w:r w:rsidRPr="00C95C62">
        <w:rPr>
          <w:b/>
        </w:rPr>
        <w:t>Analyse :</w:t>
      </w:r>
      <w:r>
        <w:t xml:space="preserve"> d</w:t>
      </w:r>
      <w:r w:rsidR="00D12F8A">
        <w:t>e même lors des premiers essais, il y a des erreurs puis les symboles sont rapidement assimilés et on note une réelle progression.</w:t>
      </w:r>
      <w:r w:rsidR="00E70553">
        <w:t xml:space="preserve"> Les élèves adorent ce jeu mais on retombe assez vite sur les mêmes choses si l’on se cantonne au domaine de l’électricité.</w:t>
      </w:r>
    </w:p>
    <w:tbl>
      <w:tblPr>
        <w:tblStyle w:val="Grilledutableau"/>
        <w:tblW w:w="0" w:type="auto"/>
        <w:tblLook w:val="04A0"/>
      </w:tblPr>
      <w:tblGrid>
        <w:gridCol w:w="4536"/>
        <w:gridCol w:w="4536"/>
      </w:tblGrid>
      <w:tr w:rsidR="003A5862" w:rsidTr="003A5862">
        <w:tc>
          <w:tcPr>
            <w:tcW w:w="4536" w:type="dxa"/>
          </w:tcPr>
          <w:p w:rsidR="003A5862" w:rsidRDefault="003A5862" w:rsidP="003A5862">
            <w:pPr>
              <w:jc w:val="center"/>
            </w:pPr>
            <w:r>
              <w:object w:dxaOrig="4890" w:dyaOrig="3135">
                <v:shape id="_x0000_i1596" type="#_x0000_t75" style="width:170.9pt;height:110.2pt" o:ole="">
                  <v:imagedata r:id="rId58" o:title=""/>
                </v:shape>
                <o:OLEObject Type="Embed" ProgID="PBrush" ShapeID="_x0000_i1596" DrawAspect="Content" ObjectID="_1490718484" r:id="rId59"/>
              </w:object>
            </w:r>
          </w:p>
        </w:tc>
        <w:tc>
          <w:tcPr>
            <w:tcW w:w="4536" w:type="dxa"/>
          </w:tcPr>
          <w:p w:rsidR="003A5862" w:rsidRDefault="003A5862" w:rsidP="003A5862">
            <w:pPr>
              <w:jc w:val="center"/>
            </w:pPr>
            <w:r>
              <w:object w:dxaOrig="4560" w:dyaOrig="3570">
                <v:shape id="_x0000_i1597" type="#_x0000_t75" style="width:155.9pt;height:122.1pt" o:ole="">
                  <v:imagedata r:id="rId60" o:title=""/>
                </v:shape>
                <o:OLEObject Type="Embed" ProgID="PBrush" ShapeID="_x0000_i1597" DrawAspect="Content" ObjectID="_1490718485" r:id="rId61"/>
              </w:object>
            </w:r>
          </w:p>
        </w:tc>
      </w:tr>
      <w:tr w:rsidR="003A5862" w:rsidTr="003A5862">
        <w:tc>
          <w:tcPr>
            <w:tcW w:w="4536" w:type="dxa"/>
          </w:tcPr>
          <w:p w:rsidR="003A5862" w:rsidRDefault="003A5862" w:rsidP="003A5862">
            <w:pPr>
              <w:jc w:val="center"/>
            </w:pPr>
            <w:r>
              <w:object w:dxaOrig="4545" w:dyaOrig="3390">
                <v:shape id="_x0000_i1599" type="#_x0000_t75" style="width:164.65pt;height:122.7pt" o:ole="">
                  <v:imagedata r:id="rId62" o:title=""/>
                </v:shape>
                <o:OLEObject Type="Embed" ProgID="PBrush" ShapeID="_x0000_i1599" DrawAspect="Content" ObjectID="_1490718486" r:id="rId63"/>
              </w:object>
            </w:r>
          </w:p>
        </w:tc>
        <w:tc>
          <w:tcPr>
            <w:tcW w:w="4536" w:type="dxa"/>
          </w:tcPr>
          <w:p w:rsidR="003A5862" w:rsidRDefault="003A5862" w:rsidP="003A5862">
            <w:pPr>
              <w:jc w:val="center"/>
            </w:pPr>
            <w:r>
              <w:object w:dxaOrig="4935" w:dyaOrig="3405">
                <v:shape id="_x0000_i1598" type="#_x0000_t75" style="width:182.2pt;height:125.85pt" o:ole="">
                  <v:imagedata r:id="rId64" o:title=""/>
                </v:shape>
                <o:OLEObject Type="Embed" ProgID="PBrush" ShapeID="_x0000_i1598" DrawAspect="Content" ObjectID="_1490718487" r:id="rId65"/>
              </w:object>
            </w:r>
          </w:p>
        </w:tc>
      </w:tr>
    </w:tbl>
    <w:p w:rsidR="00E20FB1" w:rsidRDefault="00E20FB1" w:rsidP="003A5862">
      <w:pPr>
        <w:jc w:val="both"/>
      </w:pPr>
    </w:p>
    <w:sectPr w:rsidR="00E20FB1" w:rsidSect="00E20FB1">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2C99"/>
    <w:multiLevelType w:val="hybridMultilevel"/>
    <w:tmpl w:val="57D60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C65EF"/>
    <w:rsid w:val="00040071"/>
    <w:rsid w:val="000B08C7"/>
    <w:rsid w:val="000D7D36"/>
    <w:rsid w:val="001041C7"/>
    <w:rsid w:val="001D589B"/>
    <w:rsid w:val="00241398"/>
    <w:rsid w:val="0024387B"/>
    <w:rsid w:val="00250AE6"/>
    <w:rsid w:val="002A28BD"/>
    <w:rsid w:val="00332847"/>
    <w:rsid w:val="00397792"/>
    <w:rsid w:val="003A5862"/>
    <w:rsid w:val="003C2740"/>
    <w:rsid w:val="003D28FC"/>
    <w:rsid w:val="003F165D"/>
    <w:rsid w:val="004819DB"/>
    <w:rsid w:val="004C426B"/>
    <w:rsid w:val="00597BE3"/>
    <w:rsid w:val="005C254C"/>
    <w:rsid w:val="005C3420"/>
    <w:rsid w:val="005F078D"/>
    <w:rsid w:val="006452B2"/>
    <w:rsid w:val="00705E72"/>
    <w:rsid w:val="0075026A"/>
    <w:rsid w:val="009338FA"/>
    <w:rsid w:val="00937D35"/>
    <w:rsid w:val="00A5280D"/>
    <w:rsid w:val="00AD68A3"/>
    <w:rsid w:val="00B02A62"/>
    <w:rsid w:val="00B801C4"/>
    <w:rsid w:val="00B84EA1"/>
    <w:rsid w:val="00BC65EF"/>
    <w:rsid w:val="00C95C62"/>
    <w:rsid w:val="00D12F8A"/>
    <w:rsid w:val="00D267B8"/>
    <w:rsid w:val="00D31D73"/>
    <w:rsid w:val="00E1276A"/>
    <w:rsid w:val="00E20FB1"/>
    <w:rsid w:val="00E70553"/>
    <w:rsid w:val="00F32A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accenttext2">
    <w:name w:val="msoaccenttext2"/>
    <w:rsid w:val="00BC65EF"/>
    <w:pPr>
      <w:spacing w:after="0" w:line="300" w:lineRule="auto"/>
    </w:pPr>
    <w:rPr>
      <w:rFonts w:ascii="OCR A Extended" w:eastAsia="Times New Roman" w:hAnsi="OCR A Extended" w:cs="Times New Roman"/>
      <w:color w:val="000000"/>
      <w:kern w:val="28"/>
      <w:sz w:val="18"/>
      <w:szCs w:val="18"/>
      <w:lang w:eastAsia="fr-FR"/>
    </w:rPr>
  </w:style>
  <w:style w:type="paragraph" w:styleId="Paragraphedeliste">
    <w:name w:val="List Paragraph"/>
    <w:basedOn w:val="Normal"/>
    <w:uiPriority w:val="34"/>
    <w:qFormat/>
    <w:rsid w:val="00BC65EF"/>
    <w:pPr>
      <w:ind w:left="720"/>
      <w:contextualSpacing/>
    </w:pPr>
  </w:style>
  <w:style w:type="paragraph" w:styleId="Textedebulles">
    <w:name w:val="Balloon Text"/>
    <w:basedOn w:val="Normal"/>
    <w:link w:val="TextedebullesCar"/>
    <w:uiPriority w:val="99"/>
    <w:semiHidden/>
    <w:unhideWhenUsed/>
    <w:rsid w:val="00BC6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5EF"/>
    <w:rPr>
      <w:rFonts w:ascii="Tahoma" w:eastAsia="Calibri" w:hAnsi="Tahoma" w:cs="Tahoma"/>
      <w:sz w:val="16"/>
      <w:szCs w:val="16"/>
    </w:rPr>
  </w:style>
  <w:style w:type="character" w:styleId="Lienhypertexte">
    <w:name w:val="Hyperlink"/>
    <w:basedOn w:val="Policepardfaut"/>
    <w:uiPriority w:val="99"/>
    <w:unhideWhenUsed/>
    <w:rsid w:val="000D7D36"/>
    <w:rPr>
      <w:color w:val="0000FF" w:themeColor="hyperlink"/>
      <w:u w:val="single"/>
    </w:rPr>
  </w:style>
  <w:style w:type="table" w:styleId="Grilledutableau">
    <w:name w:val="Table Grid"/>
    <w:basedOn w:val="TableauNormal"/>
    <w:uiPriority w:val="59"/>
    <w:rsid w:val="00937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png"/><Relationship Id="rId50" Type="http://schemas.openxmlformats.org/officeDocument/2006/relationships/oleObject" Target="embeddings/oleObject23.bin"/><Relationship Id="rId55" Type="http://schemas.openxmlformats.org/officeDocument/2006/relationships/image" Target="media/image28.png"/><Relationship Id="rId63" Type="http://schemas.openxmlformats.org/officeDocument/2006/relationships/oleObject" Target="embeddings/oleObject26.bin"/><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oleObject" Target="embeddings/oleObject18.bin"/><Relationship Id="rId45" Type="http://schemas.openxmlformats.org/officeDocument/2006/relationships/image" Target="media/image21.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png"/><Relationship Id="rId57" Type="http://schemas.openxmlformats.org/officeDocument/2006/relationships/image" Target="media/image30.png"/><Relationship Id="rId61"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oleObject" Target="embeddings/oleObject20.bin"/><Relationship Id="rId52" Type="http://schemas.openxmlformats.org/officeDocument/2006/relationships/image" Target="media/image25.png"/><Relationship Id="rId60" Type="http://schemas.openxmlformats.org/officeDocument/2006/relationships/image" Target="media/image32.png"/><Relationship Id="rId65"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oleObject" Target="embeddings/oleObject22.bin"/><Relationship Id="rId56" Type="http://schemas.openxmlformats.org/officeDocument/2006/relationships/image" Target="media/image29.png"/><Relationship Id="rId64" Type="http://schemas.openxmlformats.org/officeDocument/2006/relationships/image" Target="media/image34.png"/><Relationship Id="rId8" Type="http://schemas.openxmlformats.org/officeDocument/2006/relationships/oleObject" Target="embeddings/oleObject2.bin"/><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4.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png"/><Relationship Id="rId54" Type="http://schemas.openxmlformats.org/officeDocument/2006/relationships/image" Target="media/image27.png"/><Relationship Id="rId62" Type="http://schemas.openxmlformats.org/officeDocument/2006/relationships/image" Target="media/image3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688</Words>
  <Characters>3785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16</cp:revision>
  <dcterms:created xsi:type="dcterms:W3CDTF">2015-04-15T21:27:00Z</dcterms:created>
  <dcterms:modified xsi:type="dcterms:W3CDTF">2015-04-16T17:38:00Z</dcterms:modified>
</cp:coreProperties>
</file>